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4BF2" w14:textId="77777777" w:rsidR="00D11342" w:rsidRDefault="007B550D" w:rsidP="00D11342">
      <w:pPr>
        <w:spacing w:after="0" w:line="240" w:lineRule="auto"/>
        <w:jc w:val="center"/>
        <w:rPr>
          <w:sz w:val="72"/>
          <w:szCs w:val="72"/>
        </w:rPr>
      </w:pPr>
      <w:r>
        <w:rPr>
          <w:noProof/>
        </w:rPr>
        <w:drawing>
          <wp:anchor distT="0" distB="0" distL="114300" distR="114300" simplePos="0" relativeHeight="251662336" behindDoc="1" locked="0" layoutInCell="1" allowOverlap="1" wp14:anchorId="68B6E412" wp14:editId="55FFEC73">
            <wp:simplePos x="0" y="0"/>
            <wp:positionH relativeFrom="column">
              <wp:posOffset>60960</wp:posOffset>
            </wp:positionH>
            <wp:positionV relativeFrom="paragraph">
              <wp:posOffset>0</wp:posOffset>
            </wp:positionV>
            <wp:extent cx="933580" cy="990738"/>
            <wp:effectExtent l="0" t="0" r="0" b="0"/>
            <wp:wrapTight wrapText="bothSides">
              <wp:wrapPolygon edited="0">
                <wp:start x="0" y="0"/>
                <wp:lineTo x="0" y="21185"/>
                <wp:lineTo x="21159" y="21185"/>
                <wp:lineTo x="21159" y="0"/>
                <wp:lineTo x="0" y="0"/>
              </wp:wrapPolygon>
            </wp:wrapTight>
            <wp:docPr id="12841532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53246" name="Immagine 1284153246"/>
                    <pic:cNvPicPr/>
                  </pic:nvPicPr>
                  <pic:blipFill>
                    <a:blip r:embed="rId5">
                      <a:extLst>
                        <a:ext uri="{28A0092B-C50C-407E-A947-70E740481C1C}">
                          <a14:useLocalDpi xmlns:a14="http://schemas.microsoft.com/office/drawing/2010/main" val="0"/>
                        </a:ext>
                      </a:extLst>
                    </a:blip>
                    <a:stretch>
                      <a:fillRect/>
                    </a:stretch>
                  </pic:blipFill>
                  <pic:spPr>
                    <a:xfrm>
                      <a:off x="0" y="0"/>
                      <a:ext cx="933580" cy="990738"/>
                    </a:xfrm>
                    <a:prstGeom prst="rect">
                      <a:avLst/>
                    </a:prstGeom>
                  </pic:spPr>
                </pic:pic>
              </a:graphicData>
            </a:graphic>
          </wp:anchor>
        </w:drawing>
      </w:r>
      <w:r w:rsidRPr="007B550D">
        <w:rPr>
          <w:sz w:val="72"/>
          <w:szCs w:val="72"/>
        </w:rPr>
        <w:t>COMUNE DI IRGOLI</w:t>
      </w:r>
    </w:p>
    <w:p w14:paraId="622358FF" w14:textId="09960902" w:rsidR="007B550D" w:rsidRPr="00D11342" w:rsidRDefault="007B550D" w:rsidP="00D11342">
      <w:pPr>
        <w:spacing w:after="0" w:line="240" w:lineRule="auto"/>
        <w:jc w:val="center"/>
        <w:rPr>
          <w:sz w:val="72"/>
          <w:szCs w:val="72"/>
        </w:rPr>
      </w:pPr>
      <w:r w:rsidRPr="007B550D">
        <w:rPr>
          <w:sz w:val="28"/>
          <w:szCs w:val="28"/>
        </w:rPr>
        <w:t>PROVINCIA DI NUORO</w:t>
      </w:r>
    </w:p>
    <w:p w14:paraId="22DBA468" w14:textId="39D947C2" w:rsidR="007B550D" w:rsidRPr="007B550D" w:rsidRDefault="007B550D" w:rsidP="00D11342">
      <w:pPr>
        <w:spacing w:after="0" w:line="240" w:lineRule="auto"/>
        <w:jc w:val="center"/>
        <w:rPr>
          <w:b/>
          <w:bCs/>
          <w:sz w:val="36"/>
          <w:szCs w:val="36"/>
        </w:rPr>
      </w:pPr>
      <w:r w:rsidRPr="007B550D">
        <w:rPr>
          <w:b/>
          <w:bCs/>
          <w:sz w:val="36"/>
          <w:szCs w:val="36"/>
        </w:rPr>
        <w:t>AREA SOCIO – CULTURALE</w:t>
      </w:r>
    </w:p>
    <w:p w14:paraId="2EE8794C" w14:textId="0E05BFAE" w:rsidR="007B550D" w:rsidRDefault="00D11342" w:rsidP="007B550D">
      <w:pPr>
        <w:spacing w:after="0" w:line="240" w:lineRule="auto"/>
        <w:ind w:left="567" w:right="567"/>
        <w:jc w:val="center"/>
        <w:rPr>
          <w:rFonts w:ascii="Arial" w:hAnsi="Arial" w:cs="Arial"/>
          <w:bCs/>
          <w:color w:val="0563C1" w:themeColor="hyperlink"/>
          <w:kern w:val="0"/>
          <w:sz w:val="20"/>
          <w:szCs w:val="20"/>
          <w:u w:val="single"/>
          <w14:ligatures w14:val="none"/>
        </w:rPr>
      </w:pPr>
      <w:r>
        <w:rPr>
          <w:noProof/>
        </w:rPr>
        <mc:AlternateContent>
          <mc:Choice Requires="wps">
            <w:drawing>
              <wp:anchor distT="0" distB="0" distL="114300" distR="114300" simplePos="0" relativeHeight="251659264" behindDoc="0" locked="0" layoutInCell="1" allowOverlap="1" wp14:anchorId="3E422284" wp14:editId="7B30ACEC">
                <wp:simplePos x="0" y="0"/>
                <wp:positionH relativeFrom="margin">
                  <wp:posOffset>114300</wp:posOffset>
                </wp:positionH>
                <wp:positionV relativeFrom="paragraph">
                  <wp:posOffset>163195</wp:posOffset>
                </wp:positionV>
                <wp:extent cx="1828800" cy="586105"/>
                <wp:effectExtent l="0" t="0" r="26670" b="23495"/>
                <wp:wrapSquare wrapText="bothSides"/>
                <wp:docPr id="585951888" name="Casella di testo 1"/>
                <wp:cNvGraphicFramePr/>
                <a:graphic xmlns:a="http://schemas.openxmlformats.org/drawingml/2006/main">
                  <a:graphicData uri="http://schemas.microsoft.com/office/word/2010/wordprocessingShape">
                    <wps:wsp>
                      <wps:cNvSpPr txBox="1"/>
                      <wps:spPr>
                        <a:xfrm>
                          <a:off x="0" y="0"/>
                          <a:ext cx="1828800" cy="586105"/>
                        </a:xfrm>
                        <a:prstGeom prst="rect">
                          <a:avLst/>
                        </a:prstGeom>
                        <a:solidFill>
                          <a:schemeClr val="accent6"/>
                        </a:solidFill>
                        <a:ln w="6350">
                          <a:solidFill>
                            <a:prstClr val="black"/>
                          </a:solidFill>
                        </a:ln>
                      </wps:spPr>
                      <wps:txbx>
                        <w:txbxContent>
                          <w:p w14:paraId="61C9AAAD" w14:textId="77777777" w:rsidR="0027435C" w:rsidRPr="0027435C" w:rsidRDefault="0027435C" w:rsidP="00E2549E">
                            <w:pPr>
                              <w:jc w:val="both"/>
                              <w:rPr>
                                <w:b/>
                                <w:bCs/>
                              </w:rPr>
                            </w:pPr>
                            <w:r w:rsidRPr="0027435C">
                              <w:rPr>
                                <w:b/>
                                <w:bCs/>
                              </w:rPr>
                              <w:t xml:space="preserve">LEGGE REGIONALE 12 MARZO 2026, N.7. DISPOSIZIONI PER IL SOSTEGNO ALLA FRUIZIONE DEI CENTRI ESTIVI, ARTICOLI 2 E 4. “PRIMO PROGRAMMA SPERIMENTALE DI FINANZIAMENTO”.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422284" id="_x0000_t202" coordsize="21600,21600" o:spt="202" path="m,l,21600r21600,l21600,xe">
                <v:stroke joinstyle="miter"/>
                <v:path gradientshapeok="t" o:connecttype="rect"/>
              </v:shapetype>
              <v:shape id="Casella di testo 1" o:spid="_x0000_s1026" type="#_x0000_t202" style="position:absolute;left:0;text-align:left;margin-left:9pt;margin-top:12.85pt;width:2in;height:46.1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" fillcolor="#70ad47 [3209]" strokeweight=".5pt">
                <v:textbox>
                  <w:txbxContent>
                    <w:p w14:paraId="61C9AAAD" w14:textId="77777777" w:rsidR="0027435C" w:rsidRPr="0027435C" w:rsidRDefault="0027435C" w:rsidP="00E2549E">
                      <w:pPr>
                        <w:jc w:val="both"/>
                        <w:rPr>
                          <w:b/>
                          <w:bCs/>
                        </w:rPr>
                      </w:pPr>
                      <w:r w:rsidRPr="0027435C">
                        <w:rPr>
                          <w:b/>
                          <w:bCs/>
                        </w:rPr>
                        <w:t xml:space="preserve">LEGGE REGIONALE 12 MARZO 2026, N.7. DISPOSIZIONI PER IL SOSTEGNO ALLA FRUIZIONE DEI CENTRI ESTIVI, ARTICOLI 2 E 4. “PRIMO PROGRAMMA SPERIMENTALE DI FINANZIAMENTO”. </w:t>
                      </w:r>
                    </w:p>
                  </w:txbxContent>
                </v:textbox>
                <w10:wrap type="square" anchorx="margin"/>
              </v:shape>
            </w:pict>
          </mc:Fallback>
        </mc:AlternateContent>
      </w:r>
    </w:p>
    <w:p w14:paraId="66F217D3" w14:textId="0B9D4260" w:rsidR="007B550D" w:rsidRDefault="007B550D" w:rsidP="007B550D">
      <w:pPr>
        <w:jc w:val="center"/>
        <w:rPr>
          <w:sz w:val="56"/>
          <w:szCs w:val="56"/>
        </w:rPr>
      </w:pPr>
      <w:r w:rsidRPr="007B550D">
        <w:rPr>
          <w:sz w:val="56"/>
          <w:szCs w:val="56"/>
        </w:rPr>
        <w:t>AVVISO PUBBLICO</w:t>
      </w:r>
    </w:p>
    <w:p w14:paraId="4A7F829A" w14:textId="768DAE7A" w:rsidR="007B550D" w:rsidRPr="0027435C" w:rsidRDefault="007B550D" w:rsidP="00E2549E">
      <w:pPr>
        <w:jc w:val="center"/>
        <w:rPr>
          <w:b/>
          <w:bCs/>
        </w:rPr>
      </w:pPr>
      <w:r w:rsidRPr="0027435C">
        <w:rPr>
          <w:b/>
          <w:bCs/>
        </w:rPr>
        <w:t>IL RESPONSABILE DELL’UFFICIO SERVIZIO SOCIALE</w:t>
      </w:r>
    </w:p>
    <w:p w14:paraId="21D46034" w14:textId="2B080929" w:rsidR="0027435C" w:rsidRPr="00D11342" w:rsidRDefault="00B76D2E" w:rsidP="00D11342">
      <w:pPr>
        <w:spacing w:after="0" w:line="240" w:lineRule="auto"/>
        <w:jc w:val="both"/>
        <w:rPr>
          <w:sz w:val="22"/>
          <w:szCs w:val="22"/>
        </w:rPr>
      </w:pPr>
      <w:r>
        <w:rPr>
          <w:noProof/>
        </w:rPr>
        <w:drawing>
          <wp:anchor distT="0" distB="0" distL="114300" distR="114300" simplePos="0" relativeHeight="251663360" behindDoc="1" locked="0" layoutInCell="1" allowOverlap="1" wp14:anchorId="6CEB875D" wp14:editId="6E542AC8">
            <wp:simplePos x="0" y="0"/>
            <wp:positionH relativeFrom="margin">
              <wp:align>left</wp:align>
            </wp:positionH>
            <wp:positionV relativeFrom="paragraph">
              <wp:posOffset>6350</wp:posOffset>
            </wp:positionV>
            <wp:extent cx="1619250" cy="1121882"/>
            <wp:effectExtent l="0" t="0" r="0" b="2540"/>
            <wp:wrapTight wrapText="bothSides">
              <wp:wrapPolygon edited="0">
                <wp:start x="0" y="0"/>
                <wp:lineTo x="0" y="21282"/>
                <wp:lineTo x="21346" y="21282"/>
                <wp:lineTo x="21346" y="0"/>
                <wp:lineTo x="0" y="0"/>
              </wp:wrapPolygon>
            </wp:wrapTight>
            <wp:docPr id="1" name="Immagine 1" descr="Portale Voucher Centri Esti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e Voucher Centri Estiv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1121882"/>
                    </a:xfrm>
                    <a:prstGeom prst="rect">
                      <a:avLst/>
                    </a:prstGeom>
                    <a:noFill/>
                    <a:ln>
                      <a:noFill/>
                    </a:ln>
                  </pic:spPr>
                </pic:pic>
              </a:graphicData>
            </a:graphic>
          </wp:anchor>
        </w:drawing>
      </w:r>
      <w:r w:rsidR="007B550D" w:rsidRPr="00D11342">
        <w:rPr>
          <w:b/>
          <w:bCs/>
          <w:sz w:val="20"/>
          <w:szCs w:val="20"/>
        </w:rPr>
        <w:t>Vista</w:t>
      </w:r>
      <w:r w:rsidR="007B550D" w:rsidRPr="00D11342">
        <w:rPr>
          <w:sz w:val="20"/>
          <w:szCs w:val="20"/>
        </w:rPr>
        <w:t xml:space="preserve"> la Legge Regionale 12 Marzo 2026, n.7, avente ad oggetto “Disposizioni per il sostegno alla fruizione dei centri estivi”, pubblicata nel </w:t>
      </w:r>
      <w:r w:rsidR="007B550D" w:rsidRPr="00D11342">
        <w:rPr>
          <w:sz w:val="22"/>
          <w:szCs w:val="22"/>
        </w:rPr>
        <w:t xml:space="preserve">Bollettino Ufficiale della Regione Sardegna (BURAS) il 19 Marzo 2026, n.17; </w:t>
      </w:r>
    </w:p>
    <w:p w14:paraId="77C60379" w14:textId="77777777" w:rsidR="0027435C" w:rsidRPr="00D11342" w:rsidRDefault="007B550D" w:rsidP="00D11342">
      <w:pPr>
        <w:spacing w:after="0" w:line="240" w:lineRule="auto"/>
        <w:jc w:val="both"/>
        <w:rPr>
          <w:sz w:val="22"/>
          <w:szCs w:val="22"/>
        </w:rPr>
      </w:pPr>
      <w:r w:rsidRPr="00D11342">
        <w:rPr>
          <w:b/>
          <w:bCs/>
          <w:sz w:val="22"/>
          <w:szCs w:val="22"/>
        </w:rPr>
        <w:t>Vista</w:t>
      </w:r>
      <w:r w:rsidRPr="00D11342">
        <w:rPr>
          <w:sz w:val="22"/>
          <w:szCs w:val="22"/>
        </w:rPr>
        <w:t xml:space="preserve"> la Deliberazione G.R. n.18/39 del 22/04/2026 avente ad oggetto “Legge Regionale 12 Marzo 2026, n.7 (Disposizioni per il sostegno alla fruizione dei centri estivi), articoli 2 e 4. Primo programma sperimentale di finanziamento. </w:t>
      </w:r>
    </w:p>
    <w:p w14:paraId="08A8537A" w14:textId="3C972C9D" w:rsidR="0027435C" w:rsidRPr="00D11342" w:rsidRDefault="007B550D" w:rsidP="00D11342">
      <w:pPr>
        <w:spacing w:after="0" w:line="240" w:lineRule="auto"/>
        <w:jc w:val="center"/>
        <w:rPr>
          <w:b/>
          <w:bCs/>
          <w:sz w:val="22"/>
          <w:szCs w:val="22"/>
        </w:rPr>
      </w:pPr>
      <w:r w:rsidRPr="00D11342">
        <w:rPr>
          <w:b/>
          <w:bCs/>
          <w:sz w:val="22"/>
          <w:szCs w:val="22"/>
        </w:rPr>
        <w:t>RENDE NOTO CHE</w:t>
      </w:r>
    </w:p>
    <w:p w14:paraId="60DDC702" w14:textId="77777777" w:rsidR="0027435C" w:rsidRPr="00D11342" w:rsidRDefault="007B550D" w:rsidP="00D11342">
      <w:pPr>
        <w:spacing w:after="0" w:line="240" w:lineRule="auto"/>
        <w:jc w:val="both"/>
        <w:rPr>
          <w:sz w:val="22"/>
          <w:szCs w:val="22"/>
        </w:rPr>
      </w:pPr>
      <w:r w:rsidRPr="00D11342">
        <w:rPr>
          <w:sz w:val="22"/>
          <w:szCs w:val="22"/>
        </w:rPr>
        <w:t xml:space="preserve">Sono aperti i termini per la presentazione delle domande per accedere al contributo “Sostegno alla fruizione dei centri estivi anno 2026” rivolto alle famiglie residenti in Sardegna che abbiano figli di età compresa tra i 3 e i 17 anni. </w:t>
      </w:r>
    </w:p>
    <w:p w14:paraId="25463D1A" w14:textId="77777777" w:rsidR="0027435C" w:rsidRPr="00D11342" w:rsidRDefault="007B550D" w:rsidP="00D11342">
      <w:pPr>
        <w:spacing w:after="0" w:line="240" w:lineRule="auto"/>
        <w:jc w:val="both"/>
        <w:rPr>
          <w:b/>
          <w:bCs/>
          <w:sz w:val="22"/>
          <w:szCs w:val="22"/>
          <w:u w:val="single"/>
        </w:rPr>
      </w:pPr>
      <w:r w:rsidRPr="00D11342">
        <w:rPr>
          <w:b/>
          <w:bCs/>
          <w:sz w:val="22"/>
          <w:szCs w:val="22"/>
          <w:u w:val="single"/>
        </w:rPr>
        <w:t xml:space="preserve">ART.1 – BENEFICIARI  </w:t>
      </w:r>
    </w:p>
    <w:p w14:paraId="06072AEE" w14:textId="77777777" w:rsidR="0027435C" w:rsidRPr="00D11342" w:rsidRDefault="007B550D" w:rsidP="00D11342">
      <w:pPr>
        <w:spacing w:after="0" w:line="240" w:lineRule="auto"/>
        <w:jc w:val="both"/>
        <w:rPr>
          <w:sz w:val="22"/>
          <w:szCs w:val="22"/>
        </w:rPr>
      </w:pPr>
      <w:r w:rsidRPr="00D11342">
        <w:rPr>
          <w:sz w:val="22"/>
          <w:szCs w:val="22"/>
        </w:rPr>
        <w:t xml:space="preserve">I contributi di cui alla presente legge sono erogati a favore delle famiglie residenti in Sardegna che abbiano figli di età compresa tra i 3 e i 17 anni, per la copertura totale o parziale delle rette di frequenza presso strutture gestite dai Comuni o da soggetti accreditati, o negli appositi elenchi comunali, sulla base della situazione economica equivalente (ISEE) del nucleo familiare, prevedendo una copertura maggiore per le fasce ISEE più basse e per le famiglie con più figli o con figli disabili. </w:t>
      </w:r>
    </w:p>
    <w:p w14:paraId="4071F760" w14:textId="6F2BFFF4" w:rsidR="0027435C" w:rsidRPr="00D11342" w:rsidRDefault="007B550D" w:rsidP="00D11342">
      <w:pPr>
        <w:spacing w:after="0" w:line="240" w:lineRule="auto"/>
        <w:jc w:val="both"/>
        <w:rPr>
          <w:b/>
          <w:bCs/>
          <w:sz w:val="22"/>
          <w:szCs w:val="22"/>
          <w:u w:val="single"/>
        </w:rPr>
      </w:pPr>
      <w:r w:rsidRPr="00D11342">
        <w:rPr>
          <w:b/>
          <w:bCs/>
          <w:sz w:val="22"/>
          <w:szCs w:val="22"/>
          <w:u w:val="single"/>
        </w:rPr>
        <w:t xml:space="preserve">ART.2 – CRITERI DI RIMBORSO </w:t>
      </w:r>
    </w:p>
    <w:p w14:paraId="062F807C" w14:textId="402CA922" w:rsidR="0027435C" w:rsidRPr="00D11342" w:rsidRDefault="007B550D" w:rsidP="00D11342">
      <w:pPr>
        <w:pStyle w:val="Paragrafoelenco"/>
        <w:numPr>
          <w:ilvl w:val="0"/>
          <w:numId w:val="4"/>
        </w:numPr>
        <w:spacing w:after="0" w:line="240" w:lineRule="auto"/>
        <w:jc w:val="both"/>
        <w:rPr>
          <w:sz w:val="22"/>
          <w:szCs w:val="22"/>
        </w:rPr>
      </w:pPr>
      <w:r w:rsidRPr="00D11342">
        <w:rPr>
          <w:sz w:val="22"/>
          <w:szCs w:val="22"/>
        </w:rPr>
        <w:t xml:space="preserve">fino a € 100 settimanali, per le famiglie con ISEE compreso tra € 0 e € 30.000,00, per un massimo di 3 mesi. </w:t>
      </w:r>
    </w:p>
    <w:p w14:paraId="044D6D23" w14:textId="492767E5" w:rsidR="0027435C" w:rsidRPr="00D11342" w:rsidRDefault="007B550D" w:rsidP="00D11342">
      <w:pPr>
        <w:pStyle w:val="Paragrafoelenco"/>
        <w:numPr>
          <w:ilvl w:val="0"/>
          <w:numId w:val="4"/>
        </w:numPr>
        <w:spacing w:after="0" w:line="240" w:lineRule="auto"/>
        <w:jc w:val="both"/>
        <w:rPr>
          <w:sz w:val="22"/>
          <w:szCs w:val="22"/>
        </w:rPr>
      </w:pPr>
      <w:r w:rsidRPr="00D11342">
        <w:rPr>
          <w:sz w:val="22"/>
          <w:szCs w:val="22"/>
        </w:rPr>
        <w:t xml:space="preserve">fino a € 50 settimanali, per le famiglie con ISEE tra 30.000,01 e € 40.000,00, per un massimo di 3 mesi. </w:t>
      </w:r>
    </w:p>
    <w:p w14:paraId="1E4380C8" w14:textId="77777777" w:rsidR="00E2549E" w:rsidRPr="00D11342" w:rsidRDefault="007B550D" w:rsidP="00D11342">
      <w:pPr>
        <w:spacing w:after="0" w:line="240" w:lineRule="auto"/>
        <w:jc w:val="both"/>
        <w:rPr>
          <w:sz w:val="22"/>
          <w:szCs w:val="22"/>
        </w:rPr>
      </w:pPr>
      <w:r w:rsidRPr="00D11342">
        <w:rPr>
          <w:sz w:val="22"/>
          <w:szCs w:val="22"/>
        </w:rPr>
        <w:t xml:space="preserve">A parità di ISEE, avranno priorità ai fini dell’accesso ai finanziamenti: </w:t>
      </w:r>
    </w:p>
    <w:p w14:paraId="2CCC785B" w14:textId="604E2916" w:rsidR="00E2549E" w:rsidRPr="00D11342" w:rsidRDefault="007B550D" w:rsidP="00D11342">
      <w:pPr>
        <w:pStyle w:val="Paragrafoelenco"/>
        <w:numPr>
          <w:ilvl w:val="0"/>
          <w:numId w:val="5"/>
        </w:numPr>
        <w:spacing w:after="0" w:line="240" w:lineRule="auto"/>
        <w:jc w:val="both"/>
        <w:rPr>
          <w:sz w:val="22"/>
          <w:szCs w:val="22"/>
        </w:rPr>
      </w:pPr>
      <w:r w:rsidRPr="00D11342">
        <w:rPr>
          <w:sz w:val="22"/>
          <w:szCs w:val="22"/>
        </w:rPr>
        <w:t>le famiglie con figli con disabilità e nel caso di più figli con disabilità, quelle con il maggior numero;</w:t>
      </w:r>
    </w:p>
    <w:p w14:paraId="72A7BDF4" w14:textId="066D5E6F" w:rsidR="00E2549E" w:rsidRPr="00D11342" w:rsidRDefault="007B550D" w:rsidP="00D11342">
      <w:pPr>
        <w:pStyle w:val="Paragrafoelenco"/>
        <w:numPr>
          <w:ilvl w:val="0"/>
          <w:numId w:val="5"/>
        </w:numPr>
        <w:spacing w:after="0" w:line="240" w:lineRule="auto"/>
        <w:jc w:val="both"/>
        <w:rPr>
          <w:sz w:val="22"/>
          <w:szCs w:val="22"/>
        </w:rPr>
      </w:pPr>
      <w:r w:rsidRPr="00D11342">
        <w:rPr>
          <w:sz w:val="22"/>
          <w:szCs w:val="22"/>
        </w:rPr>
        <w:t xml:space="preserve">le famiglie con più figli. </w:t>
      </w:r>
    </w:p>
    <w:p w14:paraId="40282829" w14:textId="77777777" w:rsidR="00E2549E" w:rsidRPr="00D11342" w:rsidRDefault="007B550D" w:rsidP="00D11342">
      <w:pPr>
        <w:spacing w:after="0" w:line="240" w:lineRule="auto"/>
        <w:jc w:val="both"/>
        <w:rPr>
          <w:b/>
          <w:bCs/>
          <w:sz w:val="22"/>
          <w:szCs w:val="22"/>
          <w:u w:val="single"/>
        </w:rPr>
      </w:pPr>
      <w:r w:rsidRPr="00D11342">
        <w:rPr>
          <w:b/>
          <w:bCs/>
          <w:sz w:val="22"/>
          <w:szCs w:val="22"/>
          <w:u w:val="single"/>
        </w:rPr>
        <w:t xml:space="preserve">ART.3 – TERMINI E MODALITA’ DI PRESENTAZIONE DELLE ISTANZE </w:t>
      </w:r>
    </w:p>
    <w:p w14:paraId="3A506613" w14:textId="77777777" w:rsidR="00E2549E" w:rsidRPr="00D11342" w:rsidRDefault="007B550D" w:rsidP="00D11342">
      <w:pPr>
        <w:spacing w:after="0" w:line="240" w:lineRule="auto"/>
        <w:jc w:val="both"/>
        <w:rPr>
          <w:sz w:val="22"/>
          <w:szCs w:val="22"/>
        </w:rPr>
      </w:pPr>
      <w:r w:rsidRPr="00D11342">
        <w:rPr>
          <w:sz w:val="22"/>
          <w:szCs w:val="22"/>
        </w:rPr>
        <w:t xml:space="preserve">La domanda di contributo per il sostegno alla fruizione dei centri estivi deve essere presentata da uno dei genitori all’ufficio protocollo del Comune di </w:t>
      </w:r>
      <w:r w:rsidR="00E2549E" w:rsidRPr="00D11342">
        <w:rPr>
          <w:sz w:val="22"/>
          <w:szCs w:val="22"/>
        </w:rPr>
        <w:t>Irgoli</w:t>
      </w:r>
      <w:r w:rsidRPr="00D11342">
        <w:rPr>
          <w:sz w:val="22"/>
          <w:szCs w:val="22"/>
        </w:rPr>
        <w:t xml:space="preserve">.  </w:t>
      </w:r>
    </w:p>
    <w:p w14:paraId="010D9DD7" w14:textId="77777777" w:rsidR="00E2549E" w:rsidRPr="00D11342" w:rsidRDefault="007B550D" w:rsidP="00D11342">
      <w:pPr>
        <w:spacing w:after="0" w:line="240" w:lineRule="auto"/>
        <w:jc w:val="both"/>
        <w:rPr>
          <w:sz w:val="22"/>
          <w:szCs w:val="22"/>
        </w:rPr>
      </w:pPr>
      <w:r w:rsidRPr="00D11342">
        <w:rPr>
          <w:sz w:val="22"/>
          <w:szCs w:val="22"/>
        </w:rPr>
        <w:t xml:space="preserve">La domanda di ammissione, debitamente compilata e sottoscritta, dovrà essere presentata entro e non oltre le ore </w:t>
      </w:r>
      <w:r w:rsidRPr="00D11342">
        <w:rPr>
          <w:b/>
          <w:bCs/>
          <w:sz w:val="22"/>
          <w:szCs w:val="22"/>
        </w:rPr>
        <w:t>13.00 del giorno 31 AGOSTO 2026</w:t>
      </w:r>
      <w:r w:rsidRPr="00D11342">
        <w:rPr>
          <w:sz w:val="22"/>
          <w:szCs w:val="22"/>
        </w:rPr>
        <w:t xml:space="preserve">, utilizzando esclusivamente l’apposito modulo allegato al presente avviso, e dovrà essere corredata dai seguenti allegati:  </w:t>
      </w:r>
    </w:p>
    <w:p w14:paraId="2849114E" w14:textId="2B5429CF" w:rsidR="00E2549E" w:rsidRPr="00D11342" w:rsidRDefault="007B550D" w:rsidP="00D11342">
      <w:pPr>
        <w:pStyle w:val="Paragrafoelenco"/>
        <w:numPr>
          <w:ilvl w:val="0"/>
          <w:numId w:val="8"/>
        </w:numPr>
        <w:spacing w:after="0" w:line="240" w:lineRule="auto"/>
        <w:jc w:val="both"/>
        <w:rPr>
          <w:sz w:val="22"/>
          <w:szCs w:val="22"/>
        </w:rPr>
      </w:pPr>
      <w:r w:rsidRPr="00D11342">
        <w:rPr>
          <w:sz w:val="22"/>
          <w:szCs w:val="22"/>
        </w:rPr>
        <w:t xml:space="preserve">Documento di riconoscimento del richiedente in corso di validità;  </w:t>
      </w:r>
    </w:p>
    <w:p w14:paraId="56A063E5" w14:textId="495DE87F" w:rsidR="00E2549E" w:rsidRPr="00D11342" w:rsidRDefault="007B550D" w:rsidP="00D11342">
      <w:pPr>
        <w:pStyle w:val="Paragrafoelenco"/>
        <w:numPr>
          <w:ilvl w:val="0"/>
          <w:numId w:val="8"/>
        </w:numPr>
        <w:spacing w:after="0" w:line="240" w:lineRule="auto"/>
        <w:jc w:val="both"/>
        <w:rPr>
          <w:sz w:val="22"/>
          <w:szCs w:val="22"/>
        </w:rPr>
      </w:pPr>
      <w:r w:rsidRPr="00D11342">
        <w:rPr>
          <w:sz w:val="22"/>
          <w:szCs w:val="22"/>
        </w:rPr>
        <w:t xml:space="preserve">Copia del documento ISEE in corso di validità presentato all’Inps, calcolato ai sensi dell’articolo 7 del D.P.C.M. n. 159/2013; </w:t>
      </w:r>
    </w:p>
    <w:p w14:paraId="46C3C107" w14:textId="167E50BC" w:rsidR="00E2549E" w:rsidRPr="00D11342" w:rsidRDefault="007B550D" w:rsidP="00D11342">
      <w:pPr>
        <w:pStyle w:val="Paragrafoelenco"/>
        <w:numPr>
          <w:ilvl w:val="0"/>
          <w:numId w:val="8"/>
        </w:numPr>
        <w:spacing w:after="0" w:line="240" w:lineRule="auto"/>
        <w:jc w:val="both"/>
        <w:rPr>
          <w:sz w:val="22"/>
          <w:szCs w:val="22"/>
        </w:rPr>
      </w:pPr>
      <w:r w:rsidRPr="00D11342">
        <w:rPr>
          <w:sz w:val="22"/>
          <w:szCs w:val="22"/>
        </w:rPr>
        <w:t xml:space="preserve">Copia delle ricevute attestanti il pagamento del servizio di Centro Estivo; </w:t>
      </w:r>
    </w:p>
    <w:p w14:paraId="1198AE01" w14:textId="5D8DE507" w:rsidR="00E2549E" w:rsidRPr="00D11342" w:rsidRDefault="007B550D" w:rsidP="00D11342">
      <w:pPr>
        <w:pStyle w:val="Paragrafoelenco"/>
        <w:numPr>
          <w:ilvl w:val="0"/>
          <w:numId w:val="8"/>
        </w:numPr>
        <w:spacing w:after="0" w:line="240" w:lineRule="auto"/>
        <w:jc w:val="both"/>
        <w:rPr>
          <w:sz w:val="22"/>
          <w:szCs w:val="22"/>
        </w:rPr>
      </w:pPr>
      <w:r w:rsidRPr="00D11342">
        <w:rPr>
          <w:sz w:val="22"/>
          <w:szCs w:val="22"/>
        </w:rPr>
        <w:t xml:space="preserve">Copia del documento bancario nella quale è indicato l’IBAN del C/C. </w:t>
      </w:r>
    </w:p>
    <w:p w14:paraId="14C3EFAF" w14:textId="77777777" w:rsidR="00E2549E" w:rsidRPr="00D11342" w:rsidRDefault="007B550D" w:rsidP="00D11342">
      <w:pPr>
        <w:spacing w:after="0" w:line="240" w:lineRule="auto"/>
        <w:jc w:val="both"/>
        <w:rPr>
          <w:sz w:val="22"/>
          <w:szCs w:val="22"/>
        </w:rPr>
      </w:pPr>
      <w:r w:rsidRPr="00D11342">
        <w:rPr>
          <w:sz w:val="22"/>
          <w:szCs w:val="22"/>
        </w:rPr>
        <w:t>La mancata presentazione entro i termini predetti comporterà la mancata istruttoria dell’istanza. Allo scadere della presentazione delle istanze, a seguito dell’istruttoria, verrà approvato l’elenco ammessi con indicato il relativo contributo spettante fino ad esaurimento dei fondi a disposizione.</w:t>
      </w:r>
    </w:p>
    <w:p w14:paraId="7C8BB738" w14:textId="0493B0F1" w:rsidR="00E2549E" w:rsidRPr="00D11342" w:rsidRDefault="00E2549E" w:rsidP="00D11342">
      <w:pPr>
        <w:spacing w:after="0" w:line="240" w:lineRule="auto"/>
        <w:jc w:val="both"/>
        <w:rPr>
          <w:b/>
          <w:bCs/>
          <w:sz w:val="22"/>
          <w:szCs w:val="22"/>
          <w:u w:val="single"/>
        </w:rPr>
      </w:pPr>
      <w:r w:rsidRPr="00D11342">
        <w:rPr>
          <w:b/>
          <w:bCs/>
          <w:sz w:val="22"/>
          <w:szCs w:val="22"/>
          <w:u w:val="single"/>
        </w:rPr>
        <w:t xml:space="preserve"> LA PRESENZA IN GRADUATORIA NON DÀ DIRITTO ALL’EROGAZIONE DEL FINANZIAMENTO CHE SARÀ RIPARTITO IN MODO PROPORZIONALE ALLE RISORSE DISPONIBILI E SOLO IN SEGUITO ALL’ ASSEGNAZIONE DEL RELATIVO FINANZIAMENTO REGIONALE. </w:t>
      </w:r>
    </w:p>
    <w:p w14:paraId="2E0DC030" w14:textId="77777777" w:rsidR="00E2549E" w:rsidRPr="00D11342" w:rsidRDefault="007B550D" w:rsidP="00D11342">
      <w:pPr>
        <w:spacing w:after="0" w:line="240" w:lineRule="auto"/>
        <w:jc w:val="both"/>
        <w:rPr>
          <w:b/>
          <w:bCs/>
          <w:sz w:val="22"/>
          <w:szCs w:val="22"/>
          <w:u w:val="single"/>
        </w:rPr>
      </w:pPr>
      <w:r w:rsidRPr="00D11342">
        <w:rPr>
          <w:b/>
          <w:bCs/>
          <w:sz w:val="22"/>
          <w:szCs w:val="22"/>
          <w:u w:val="single"/>
        </w:rPr>
        <w:t xml:space="preserve">ART. 4 - SANZIONI E CONTROLLI  </w:t>
      </w:r>
    </w:p>
    <w:p w14:paraId="2A09EA8E" w14:textId="77777777" w:rsidR="00E2549E" w:rsidRPr="00D11342" w:rsidRDefault="007B550D" w:rsidP="00D11342">
      <w:pPr>
        <w:spacing w:after="0" w:line="240" w:lineRule="auto"/>
        <w:jc w:val="both"/>
        <w:rPr>
          <w:sz w:val="22"/>
          <w:szCs w:val="22"/>
        </w:rPr>
      </w:pPr>
      <w:r w:rsidRPr="00D11342">
        <w:rPr>
          <w:sz w:val="22"/>
          <w:szCs w:val="22"/>
        </w:rPr>
        <w:t xml:space="preserve">Tutte le dichiarazioni rese in risposta al presente avviso si intendono rese con le formule dell’autocertificazione o della dichiarazione sostitutiva di atto notorio, ai sensi degli artt. 46 e 47 del D.P.R. n. 445/2000. Ai sensi dell’art. 5 della L. n. 241/90 e </w:t>
      </w:r>
      <w:proofErr w:type="spellStart"/>
      <w:r w:rsidRPr="00D11342">
        <w:rPr>
          <w:sz w:val="22"/>
          <w:szCs w:val="22"/>
        </w:rPr>
        <w:t>s.m.i.</w:t>
      </w:r>
      <w:proofErr w:type="spellEnd"/>
      <w:r w:rsidRPr="00D11342">
        <w:rPr>
          <w:sz w:val="22"/>
          <w:szCs w:val="22"/>
        </w:rPr>
        <w:t xml:space="preserve"> in sede di istruttoria il Comune può richiedere il rilascio di dichiarazioni e rettifica di dichiarazioni o istanze erronee o incomplete, può esperire accertamenti tecnici ed ispezioni nonché ordinare esibizioni documentali. Ai sensi del D.P.C.M. 5 dicembre 2013, n. 159 e dell’art. 71 del D.P.R. n. 445/2000 l’Amministrazione Comunale potrà procedere ad idonei controlli, anche a campione, e/o in tutti i casi in cui sorgano fondati dubbi sulla veridicità delle dichiarazioni sostitutive. Il Comune di </w:t>
      </w:r>
      <w:r w:rsidR="00E2549E" w:rsidRPr="00D11342">
        <w:rPr>
          <w:sz w:val="22"/>
          <w:szCs w:val="22"/>
        </w:rPr>
        <w:t>Irgoli</w:t>
      </w:r>
      <w:r w:rsidRPr="00D11342">
        <w:rPr>
          <w:sz w:val="22"/>
          <w:szCs w:val="22"/>
        </w:rPr>
        <w:t xml:space="preserve"> si riserva di comunicare i nominativi dei richiedenti alle autorità competenti per territorio per i controlli previsti dalle leggi vigenti. Ferme restando le responsabilità penali ai sensi dell’art. 76 del D.P.R. 445/2000, qualora dal controllo risulti accertata la non veridicità del contenuto della dichiarazione sostitutiva, il dichiarante decade dai benefici eventualmente conseguenti al provvedimento emanato sulla base della dichiarazione non veritiera. </w:t>
      </w:r>
    </w:p>
    <w:p w14:paraId="37597E61" w14:textId="77777777" w:rsidR="00D11342" w:rsidRPr="00D11342" w:rsidRDefault="007B550D" w:rsidP="00D11342">
      <w:pPr>
        <w:spacing w:after="0" w:line="240" w:lineRule="auto"/>
        <w:jc w:val="both"/>
        <w:rPr>
          <w:b/>
          <w:bCs/>
          <w:sz w:val="22"/>
          <w:szCs w:val="22"/>
          <w:u w:val="single"/>
        </w:rPr>
      </w:pPr>
      <w:r w:rsidRPr="00D11342">
        <w:rPr>
          <w:b/>
          <w:bCs/>
          <w:sz w:val="22"/>
          <w:szCs w:val="22"/>
          <w:u w:val="single"/>
        </w:rPr>
        <w:t xml:space="preserve">ART. 5 - PUBBLICITÀ DELL’AVVISO </w:t>
      </w:r>
    </w:p>
    <w:p w14:paraId="2219848B" w14:textId="573F6D85" w:rsidR="007B550D" w:rsidRPr="00D11342" w:rsidRDefault="007B550D" w:rsidP="00D11342">
      <w:pPr>
        <w:spacing w:after="0" w:line="240" w:lineRule="auto"/>
        <w:jc w:val="both"/>
        <w:rPr>
          <w:sz w:val="22"/>
          <w:szCs w:val="22"/>
        </w:rPr>
      </w:pPr>
      <w:r w:rsidRPr="00D11342">
        <w:rPr>
          <w:sz w:val="22"/>
          <w:szCs w:val="22"/>
        </w:rPr>
        <w:t xml:space="preserve">Il presente Avviso è affisso all’Albo Pretorio OnLine del Comune e sul sito istituzionale del Comune di </w:t>
      </w:r>
      <w:r w:rsidR="00E2549E" w:rsidRPr="00D11342">
        <w:rPr>
          <w:sz w:val="22"/>
          <w:szCs w:val="22"/>
        </w:rPr>
        <w:t>Irgoli</w:t>
      </w:r>
      <w:r w:rsidRPr="00D11342">
        <w:rPr>
          <w:sz w:val="22"/>
          <w:szCs w:val="22"/>
        </w:rPr>
        <w:t xml:space="preserve">.  Per qualsiasi ulteriore informazione o chiarimento è possibile rivolgersi all’Ufficio Servizi Sociali del Comune di </w:t>
      </w:r>
      <w:r w:rsidR="00E2549E" w:rsidRPr="00D11342">
        <w:rPr>
          <w:sz w:val="22"/>
          <w:szCs w:val="22"/>
        </w:rPr>
        <w:t>Irgoli</w:t>
      </w:r>
      <w:r w:rsidRPr="00D11342">
        <w:rPr>
          <w:sz w:val="22"/>
          <w:szCs w:val="22"/>
        </w:rPr>
        <w:t xml:space="preserve"> negli orari di apertura al pubblico degli uffici comunali.</w:t>
      </w:r>
    </w:p>
    <w:p w14:paraId="6FABC9F7" w14:textId="77777777" w:rsidR="00B76D2E" w:rsidRDefault="00B76D2E" w:rsidP="00E2549E">
      <w:pPr>
        <w:autoSpaceDE w:val="0"/>
        <w:autoSpaceDN w:val="0"/>
        <w:adjustRightInd w:val="0"/>
        <w:spacing w:after="0" w:line="240" w:lineRule="auto"/>
        <w:jc w:val="both"/>
        <w:rPr>
          <w:rFonts w:cstheme="minorHAnsi"/>
          <w:b/>
          <w:bCs/>
          <w:color w:val="000000"/>
          <w:kern w:val="0"/>
          <w:sz w:val="22"/>
          <w:szCs w:val="22"/>
          <w:u w:val="single"/>
          <w14:ligatures w14:val="none"/>
        </w:rPr>
      </w:pPr>
    </w:p>
    <w:p w14:paraId="53922FCE" w14:textId="2DFA2009" w:rsidR="00E2549E" w:rsidRPr="00D11342" w:rsidRDefault="00E2549E" w:rsidP="00E2549E">
      <w:pPr>
        <w:autoSpaceDE w:val="0"/>
        <w:autoSpaceDN w:val="0"/>
        <w:adjustRightInd w:val="0"/>
        <w:spacing w:after="0" w:line="240" w:lineRule="auto"/>
        <w:jc w:val="both"/>
        <w:rPr>
          <w:rFonts w:cstheme="minorHAnsi"/>
          <w:b/>
          <w:bCs/>
          <w:color w:val="000000"/>
          <w:kern w:val="0"/>
          <w:sz w:val="22"/>
          <w:szCs w:val="22"/>
          <w14:ligatures w14:val="none"/>
        </w:rPr>
      </w:pPr>
      <w:r w:rsidRPr="00D11342">
        <w:rPr>
          <w:rFonts w:cstheme="minorHAnsi"/>
          <w:b/>
          <w:bCs/>
          <w:color w:val="000000"/>
          <w:kern w:val="0"/>
          <w:sz w:val="22"/>
          <w:szCs w:val="22"/>
          <w:u w:val="single"/>
          <w14:ligatures w14:val="none"/>
        </w:rPr>
        <w:t>Trattamento dei dati personali ai sensi e per gli effetti del D. Lgs. n. 196/2003 e ss.mm. con D.lgs. 101/2018 e del Reg. UE 679/2016</w:t>
      </w:r>
    </w:p>
    <w:p w14:paraId="16C92FDF" w14:textId="77777777" w:rsidR="00E2549E" w:rsidRPr="00D11342" w:rsidRDefault="00E2549E" w:rsidP="00E2549E">
      <w:pPr>
        <w:spacing w:after="0" w:line="240" w:lineRule="auto"/>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 xml:space="preserve">Il </w:t>
      </w:r>
      <w:r w:rsidRPr="00D11342">
        <w:rPr>
          <w:rFonts w:eastAsia="Times New Roman" w:cstheme="minorHAnsi"/>
          <w:b/>
          <w:kern w:val="0"/>
          <w:sz w:val="14"/>
          <w:szCs w:val="14"/>
          <w:lang w:eastAsia="it-IT"/>
          <w14:ligatures w14:val="none"/>
        </w:rPr>
        <w:t>Comune di Irgoli</w:t>
      </w:r>
      <w:r w:rsidRPr="00D11342">
        <w:rPr>
          <w:rFonts w:eastAsia="Times New Roman" w:cstheme="minorHAnsi"/>
          <w:kern w:val="0"/>
          <w:sz w:val="14"/>
          <w:szCs w:val="14"/>
          <w:lang w:eastAsia="it-IT"/>
          <w14:ligatures w14:val="none"/>
        </w:rPr>
        <w:t xml:space="preserve">, con sede in Irgoli, Via Roma, 2 email: </w:t>
      </w:r>
      <w:hyperlink r:id="rId7" w:history="1">
        <w:r w:rsidRPr="00D11342">
          <w:rPr>
            <w:rFonts w:eastAsia="Times New Roman" w:cstheme="minorHAnsi"/>
            <w:color w:val="0000FF"/>
            <w:kern w:val="0"/>
            <w:sz w:val="14"/>
            <w:szCs w:val="14"/>
            <w:u w:val="single"/>
            <w:lang w:eastAsia="it-IT"/>
            <w14:ligatures w14:val="none"/>
          </w:rPr>
          <w:t>protocollo@comune.irgoli.nu.it</w:t>
        </w:r>
      </w:hyperlink>
      <w:r w:rsidRPr="00D11342">
        <w:rPr>
          <w:rFonts w:eastAsia="Times New Roman" w:cstheme="minorHAnsi"/>
          <w:kern w:val="0"/>
          <w:sz w:val="14"/>
          <w:szCs w:val="14"/>
          <w:lang w:eastAsia="it-IT"/>
          <w14:ligatures w14:val="none"/>
        </w:rPr>
        <w:t xml:space="preserve"> </w:t>
      </w:r>
      <w:proofErr w:type="spellStart"/>
      <w:r w:rsidRPr="00D11342">
        <w:rPr>
          <w:rFonts w:eastAsia="Times New Roman" w:cstheme="minorHAnsi"/>
          <w:kern w:val="0"/>
          <w:sz w:val="14"/>
          <w:szCs w:val="14"/>
          <w:lang w:eastAsia="it-IT"/>
          <w14:ligatures w14:val="none"/>
        </w:rPr>
        <w:t>pec</w:t>
      </w:r>
      <w:proofErr w:type="spellEnd"/>
      <w:r w:rsidRPr="00D11342">
        <w:rPr>
          <w:rFonts w:eastAsia="Times New Roman" w:cstheme="minorHAnsi"/>
          <w:kern w:val="0"/>
          <w:sz w:val="14"/>
          <w:szCs w:val="14"/>
          <w:lang w:eastAsia="it-IT"/>
          <w14:ligatures w14:val="none"/>
        </w:rPr>
        <w:t xml:space="preserve">: </w:t>
      </w:r>
      <w:hyperlink r:id="rId8" w:history="1">
        <w:r w:rsidRPr="00D11342">
          <w:rPr>
            <w:rFonts w:eastAsia="Times New Roman" w:cstheme="minorHAnsi"/>
            <w:color w:val="0000FF"/>
            <w:kern w:val="0"/>
            <w:sz w:val="14"/>
            <w:szCs w:val="14"/>
            <w:u w:val="single"/>
            <w:lang w:eastAsia="it-IT"/>
            <w14:ligatures w14:val="none"/>
          </w:rPr>
          <w:t>pec.comune.irgoli@legalmail.it</w:t>
        </w:r>
      </w:hyperlink>
      <w:r w:rsidRPr="00D11342">
        <w:rPr>
          <w:rFonts w:eastAsia="Times New Roman" w:cstheme="minorHAnsi"/>
          <w:kern w:val="0"/>
          <w:sz w:val="14"/>
          <w:szCs w:val="14"/>
          <w:lang w:eastAsia="it-IT"/>
          <w14:ligatures w14:val="none"/>
        </w:rPr>
        <w:t xml:space="preserve"> </w:t>
      </w:r>
      <w:proofErr w:type="spellStart"/>
      <w:r w:rsidRPr="00D11342">
        <w:rPr>
          <w:rFonts w:eastAsia="Times New Roman" w:cstheme="minorHAnsi"/>
          <w:kern w:val="0"/>
          <w:sz w:val="14"/>
          <w:szCs w:val="14"/>
          <w:lang w:eastAsia="it-IT"/>
          <w14:ligatures w14:val="none"/>
        </w:rPr>
        <w:t>tel</w:t>
      </w:r>
      <w:proofErr w:type="spellEnd"/>
      <w:r w:rsidRPr="00D11342">
        <w:rPr>
          <w:rFonts w:eastAsia="Times New Roman" w:cstheme="minorHAnsi"/>
          <w:kern w:val="0"/>
          <w:sz w:val="14"/>
          <w:szCs w:val="14"/>
          <w:lang w:eastAsia="it-IT"/>
          <w14:ligatures w14:val="none"/>
        </w:rPr>
        <w:t>: 0784/1826007, nella sua qualità di Titolare del trattamento dei dati, tratterà i dati personali conferiti con la modulistica riferita al presente procedimento,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3F3E341C" w14:textId="77777777" w:rsidR="00E2549E" w:rsidRPr="00D11342" w:rsidRDefault="00E2549E" w:rsidP="00E2549E">
      <w:pPr>
        <w:spacing w:after="0" w:line="240" w:lineRule="auto"/>
        <w:ind w:right="41"/>
        <w:jc w:val="both"/>
        <w:rPr>
          <w:rFonts w:eastAsia="Times New Roman" w:cstheme="minorHAnsi"/>
          <w:b/>
          <w:kern w:val="0"/>
          <w:sz w:val="14"/>
          <w:szCs w:val="14"/>
          <w:lang w:eastAsia="it-IT"/>
          <w14:ligatures w14:val="none"/>
        </w:rPr>
      </w:pPr>
      <w:r w:rsidRPr="00D11342">
        <w:rPr>
          <w:rFonts w:eastAsia="Times New Roman" w:cstheme="minorHAnsi"/>
          <w:kern w:val="0"/>
          <w:sz w:val="14"/>
          <w:szCs w:val="14"/>
          <w:lang w:eastAsia="it-IT"/>
          <w14:ligatures w14:val="none"/>
        </w:rPr>
        <w:t xml:space="preserve">Il trattamento dei dati personali avverrà secondo modalità idonee a garantire sicurezza e riservatezza e sarà effettuato utilizzando supporti cartacei, informatici e/o telematici per lo svolgimento delle attività </w:t>
      </w:r>
      <w:proofErr w:type="gramStart"/>
      <w:r w:rsidRPr="00D11342">
        <w:rPr>
          <w:rFonts w:eastAsia="Times New Roman" w:cstheme="minorHAnsi"/>
          <w:kern w:val="0"/>
          <w:sz w:val="14"/>
          <w:szCs w:val="14"/>
          <w:lang w:eastAsia="it-IT"/>
          <w14:ligatures w14:val="none"/>
        </w:rPr>
        <w:t>dell’ Amministrazione</w:t>
      </w:r>
      <w:proofErr w:type="gramEnd"/>
      <w:r w:rsidRPr="00D11342">
        <w:rPr>
          <w:rFonts w:eastAsia="Times New Roman" w:cstheme="minorHAnsi"/>
          <w:kern w:val="0"/>
          <w:sz w:val="14"/>
          <w:szCs w:val="14"/>
          <w:lang w:eastAsia="it-IT"/>
          <w14:ligatures w14:val="none"/>
        </w:rPr>
        <w:t>.</w:t>
      </w:r>
    </w:p>
    <w:p w14:paraId="5061F58E" w14:textId="77777777" w:rsidR="00E2549E" w:rsidRPr="00D11342" w:rsidRDefault="00E2549E" w:rsidP="00E2549E">
      <w:pPr>
        <w:spacing w:after="0" w:line="240" w:lineRule="auto"/>
        <w:ind w:right="46"/>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Il trattamento dei dati è improntato ai principi di liceità, correttezza e trasparenza e, in conformità al principio di cd “</w:t>
      </w:r>
      <w:proofErr w:type="gramStart"/>
      <w:r w:rsidRPr="00D11342">
        <w:rPr>
          <w:rFonts w:eastAsia="Times New Roman" w:cstheme="minorHAnsi"/>
          <w:kern w:val="0"/>
          <w:sz w:val="14"/>
          <w:szCs w:val="14"/>
          <w:lang w:eastAsia="it-IT"/>
          <w14:ligatures w14:val="none"/>
        </w:rPr>
        <w:t>minimizzazione  dei</w:t>
      </w:r>
      <w:proofErr w:type="gramEnd"/>
      <w:r w:rsidRPr="00D11342">
        <w:rPr>
          <w:rFonts w:eastAsia="Times New Roman" w:cstheme="minorHAnsi"/>
          <w:kern w:val="0"/>
          <w:sz w:val="14"/>
          <w:szCs w:val="14"/>
          <w:lang w:eastAsia="it-IT"/>
          <w14:ligatures w14:val="none"/>
        </w:rPr>
        <w:t xml:space="preserve"> dati</w:t>
      </w:r>
      <w:proofErr w:type="gramStart"/>
      <w:r w:rsidRPr="00D11342">
        <w:rPr>
          <w:rFonts w:eastAsia="Times New Roman" w:cstheme="minorHAnsi"/>
          <w:kern w:val="0"/>
          <w:sz w:val="14"/>
          <w:szCs w:val="14"/>
          <w:lang w:eastAsia="it-IT"/>
          <w14:ligatures w14:val="none"/>
        </w:rPr>
        <w:t>” ,</w:t>
      </w:r>
      <w:proofErr w:type="gramEnd"/>
      <w:r w:rsidRPr="00D11342">
        <w:rPr>
          <w:rFonts w:eastAsia="Times New Roman" w:cstheme="minorHAnsi"/>
          <w:kern w:val="0"/>
          <w:sz w:val="14"/>
          <w:szCs w:val="14"/>
          <w:lang w:eastAsia="it-IT"/>
          <w14:ligatures w14:val="none"/>
        </w:rPr>
        <w:t xml:space="preserve"> i dati richiesti sono adeguati, pertinenti e limitati rispetto alle finalità per le quali sono</w:t>
      </w:r>
      <w:r w:rsidRPr="00D11342">
        <w:rPr>
          <w:rFonts w:eastAsia="Times New Roman" w:cstheme="minorHAnsi"/>
          <w:spacing w:val="-24"/>
          <w:kern w:val="0"/>
          <w:sz w:val="14"/>
          <w:szCs w:val="14"/>
          <w:lang w:eastAsia="it-IT"/>
          <w14:ligatures w14:val="none"/>
        </w:rPr>
        <w:t xml:space="preserve"> </w:t>
      </w:r>
      <w:r w:rsidRPr="00D11342">
        <w:rPr>
          <w:rFonts w:eastAsia="Times New Roman" w:cstheme="minorHAnsi"/>
          <w:kern w:val="0"/>
          <w:sz w:val="14"/>
          <w:szCs w:val="14"/>
          <w:lang w:eastAsia="it-IT"/>
          <w14:ligatures w14:val="none"/>
        </w:rPr>
        <w:t>trattati.</w:t>
      </w:r>
    </w:p>
    <w:p w14:paraId="59162B31" w14:textId="77777777" w:rsidR="00E2549E" w:rsidRPr="00D11342" w:rsidRDefault="00E2549E" w:rsidP="00E2549E">
      <w:pPr>
        <w:spacing w:after="0" w:line="240" w:lineRule="auto"/>
        <w:ind w:right="46"/>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In particolare, i dati sono raccolti e registrati unicamente per gli scopi sopraindicati e saranno tutelate la Sua dignità e la Sua riservatezza.</w:t>
      </w:r>
    </w:p>
    <w:p w14:paraId="4283D223" w14:textId="77777777" w:rsidR="00E2549E" w:rsidRPr="00D11342" w:rsidRDefault="00E2549E" w:rsidP="00E2549E">
      <w:pPr>
        <w:widowControl w:val="0"/>
        <w:autoSpaceDE w:val="0"/>
        <w:autoSpaceDN w:val="0"/>
        <w:spacing w:after="0" w:line="240" w:lineRule="auto"/>
        <w:ind w:right="42"/>
        <w:jc w:val="both"/>
        <w:outlineLvl w:val="2"/>
        <w:rPr>
          <w:rFonts w:eastAsia="Times New Roman" w:cstheme="minorHAnsi"/>
          <w:b/>
          <w:bCs/>
          <w:kern w:val="0"/>
          <w:sz w:val="14"/>
          <w:szCs w:val="14"/>
          <w14:ligatures w14:val="none"/>
        </w:rPr>
      </w:pPr>
      <w:r w:rsidRPr="00D11342">
        <w:rPr>
          <w:rFonts w:eastAsia="Times New Roman" w:cstheme="minorHAnsi"/>
          <w:b/>
          <w:bCs/>
          <w:kern w:val="0"/>
          <w:sz w:val="14"/>
          <w:szCs w:val="14"/>
          <w14:ligatures w14:val="none"/>
        </w:rPr>
        <w:t>Il conferimento dei dati di cui alla presente modulistica è facoltativo, ma un eventuale rifiuto di fornirli comporterà l'impossibilità per l’Amministrazione di utilizzare i dati per le finalità indicate, con la conseguenza che non sarà possibile l’erogazione del contributo richiesto.</w:t>
      </w:r>
    </w:p>
    <w:p w14:paraId="562172AA" w14:textId="77777777" w:rsidR="00E2549E" w:rsidRPr="00D11342" w:rsidRDefault="00E2549E" w:rsidP="00E2549E">
      <w:pPr>
        <w:spacing w:after="0" w:line="240" w:lineRule="auto"/>
        <w:ind w:right="38"/>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proofErr w:type="gramStart"/>
      <w:r w:rsidRPr="00D11342">
        <w:rPr>
          <w:rFonts w:eastAsia="Times New Roman" w:cstheme="minorHAnsi"/>
          <w:kern w:val="0"/>
          <w:sz w:val="14"/>
          <w:szCs w:val="14"/>
          <w:lang w:eastAsia="it-IT"/>
          <w14:ligatures w14:val="none"/>
        </w:rPr>
        <w:t>ss.mm.ii</w:t>
      </w:r>
      <w:proofErr w:type="spellEnd"/>
      <w:proofErr w:type="gramEnd"/>
      <w:r w:rsidRPr="00D11342">
        <w:rPr>
          <w:rFonts w:eastAsia="Times New Roman" w:cstheme="minorHAnsi"/>
          <w:kern w:val="0"/>
          <w:sz w:val="14"/>
          <w:szCs w:val="14"/>
          <w:lang w:eastAsia="it-IT"/>
          <w14:ligatures w14:val="none"/>
        </w:rPr>
        <w:t>).</w:t>
      </w:r>
    </w:p>
    <w:p w14:paraId="5C38B774" w14:textId="77777777" w:rsidR="00E2549E" w:rsidRPr="00D11342" w:rsidRDefault="00E2549E" w:rsidP="00E2549E">
      <w:pPr>
        <w:spacing w:after="0" w:line="240" w:lineRule="auto"/>
        <w:ind w:right="39"/>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14:paraId="06E2B2DD" w14:textId="77777777" w:rsidR="00E2549E" w:rsidRPr="00D11342" w:rsidRDefault="00E2549E" w:rsidP="00E2549E">
      <w:pPr>
        <w:spacing w:after="0" w:line="240" w:lineRule="auto"/>
        <w:ind w:right="39"/>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I dati conferiti, saranno trattati dall’Amministrazione per il periodo necessario allo svolgimento dell’attività amministrativa correlata e conservati in conformità alle norme sulla conservazione della documentazione amministrativa.</w:t>
      </w:r>
    </w:p>
    <w:p w14:paraId="41F473F8" w14:textId="77777777" w:rsidR="00E2549E" w:rsidRPr="00D11342" w:rsidRDefault="00E2549E" w:rsidP="00E2549E">
      <w:pPr>
        <w:spacing w:after="0" w:line="240" w:lineRule="auto"/>
        <w:ind w:right="39"/>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I dati saranno trattati esclusivamente dal personale, da collaboratori dell’Ente ovvero da soggetti esterni espressamente nominati come Responsabili del trattamento dal Titolare.</w:t>
      </w:r>
    </w:p>
    <w:p w14:paraId="5A11C6F6" w14:textId="77777777" w:rsidR="00E2549E" w:rsidRPr="00D11342" w:rsidRDefault="00E2549E" w:rsidP="00E2549E">
      <w:pPr>
        <w:spacing w:after="0" w:line="240" w:lineRule="auto"/>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Al di fuori delle ipotesi sopra richiamate, i dati non saranno comunicati a terzi né diffusi.</w:t>
      </w:r>
    </w:p>
    <w:p w14:paraId="47414F85" w14:textId="63E8C5EC" w:rsidR="00E2549E" w:rsidRPr="00D11342" w:rsidRDefault="00E2549E" w:rsidP="00E2549E">
      <w:pPr>
        <w:spacing w:after="0" w:line="240" w:lineRule="auto"/>
        <w:ind w:right="38"/>
        <w:jc w:val="both"/>
        <w:rPr>
          <w:rFonts w:eastAsia="Times New Roman" w:cstheme="minorHAnsi"/>
          <w:kern w:val="0"/>
          <w:sz w:val="14"/>
          <w:szCs w:val="14"/>
          <w:lang w:eastAsia="it-IT"/>
          <w14:ligatures w14:val="none"/>
        </w:rPr>
      </w:pPr>
      <w:r w:rsidRPr="00D11342">
        <w:rPr>
          <w:rFonts w:eastAsia="Times New Roman" w:cstheme="minorHAnsi"/>
          <w:kern w:val="0"/>
          <w:sz w:val="14"/>
          <w:szCs w:val="14"/>
          <w:lang w:eastAsia="it-IT"/>
          <w14:ligatures w14:val="none"/>
        </w:rPr>
        <w:t>Gli interessati hanno il diritto di chiedere al Titolare del trattamento l’accesso ai dati personali e la rettifica o la cancellazione degli stessi o la limitazione del trattamento che li riguarda o di opporsi al trattamento, ai sensi degli artt. 15 e ss.</w:t>
      </w:r>
      <w:r w:rsidRPr="00D11342">
        <w:rPr>
          <w:rFonts w:eastAsia="Times New Roman" w:cstheme="minorHAnsi"/>
          <w:spacing w:val="-23"/>
          <w:kern w:val="0"/>
          <w:sz w:val="14"/>
          <w:szCs w:val="14"/>
          <w:lang w:eastAsia="it-IT"/>
          <w14:ligatures w14:val="none"/>
        </w:rPr>
        <w:t xml:space="preserve"> </w:t>
      </w:r>
      <w:r w:rsidRPr="00D11342">
        <w:rPr>
          <w:rFonts w:eastAsia="Times New Roman" w:cstheme="minorHAnsi"/>
          <w:kern w:val="0"/>
          <w:sz w:val="14"/>
          <w:szCs w:val="14"/>
          <w:lang w:eastAsia="it-IT"/>
          <w14:ligatures w14:val="none"/>
        </w:rPr>
        <w:t>RGDP.</w:t>
      </w:r>
    </w:p>
    <w:p w14:paraId="71255E18" w14:textId="0C5D6CA3" w:rsidR="00E2549E" w:rsidRPr="00E2549E" w:rsidRDefault="00E2549E" w:rsidP="00D11342">
      <w:pPr>
        <w:shd w:val="clear" w:color="auto" w:fill="FFFFFF"/>
        <w:spacing w:after="0" w:line="240" w:lineRule="auto"/>
        <w:jc w:val="both"/>
        <w:rPr>
          <w:rFonts w:cstheme="minorHAnsi"/>
          <w:bCs/>
          <w:kern w:val="0"/>
          <w:sz w:val="20"/>
          <w:szCs w:val="20"/>
          <w14:ligatures w14:val="none"/>
        </w:rPr>
      </w:pPr>
      <w:r w:rsidRPr="00E2549E">
        <w:rPr>
          <w:rFonts w:eastAsia="Times New Roman" w:cstheme="minorHAnsi"/>
          <w:noProof/>
          <w:kern w:val="0"/>
          <w:sz w:val="20"/>
          <w:szCs w:val="20"/>
          <w:lang w:eastAsia="ar-SA"/>
          <w14:ligatures w14:val="none"/>
        </w:rPr>
        <w:drawing>
          <wp:anchor distT="0" distB="0" distL="114300" distR="114300" simplePos="0" relativeHeight="251661312" behindDoc="0" locked="0" layoutInCell="1" allowOverlap="1" wp14:anchorId="079974D1" wp14:editId="25232F19">
            <wp:simplePos x="0" y="0"/>
            <wp:positionH relativeFrom="margin">
              <wp:align>left</wp:align>
            </wp:positionH>
            <wp:positionV relativeFrom="paragraph">
              <wp:posOffset>11430</wp:posOffset>
            </wp:positionV>
            <wp:extent cx="876300" cy="679450"/>
            <wp:effectExtent l="0" t="0" r="0" b="6350"/>
            <wp:wrapSquare wrapText="bothSides"/>
            <wp:docPr id="4" name="Immagine 4" descr="Welcome - Piscina comunale Im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Welcome - Piscina comunale Imo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49E">
        <w:rPr>
          <w:rFonts w:cstheme="minorHAnsi"/>
          <w:bCs/>
          <w:kern w:val="0"/>
          <w:sz w:val="20"/>
          <w:szCs w:val="20"/>
          <w14:ligatures w14:val="none"/>
        </w:rPr>
        <w:t>Ufficio SERVIZI SOCIALI</w:t>
      </w:r>
    </w:p>
    <w:p w14:paraId="4197AB4A" w14:textId="77777777" w:rsidR="00E2549E" w:rsidRPr="00E2549E" w:rsidRDefault="00E2549E" w:rsidP="00E2549E">
      <w:pPr>
        <w:spacing w:after="0" w:line="240" w:lineRule="auto"/>
        <w:jc w:val="both"/>
        <w:rPr>
          <w:rFonts w:cstheme="minorHAnsi"/>
          <w:bCs/>
          <w:kern w:val="0"/>
          <w:sz w:val="20"/>
          <w:szCs w:val="20"/>
          <w14:ligatures w14:val="none"/>
        </w:rPr>
      </w:pPr>
      <w:r w:rsidRPr="00E2549E">
        <w:rPr>
          <w:rFonts w:cstheme="minorHAnsi"/>
          <w:bCs/>
          <w:kern w:val="0"/>
          <w:sz w:val="20"/>
          <w:szCs w:val="20"/>
          <w14:ligatures w14:val="none"/>
        </w:rPr>
        <w:t>Giorni e orario di apertura DAL LUNEDI’ AL VENERDI’</w:t>
      </w:r>
    </w:p>
    <w:p w14:paraId="7293175D" w14:textId="77777777" w:rsidR="00E2549E" w:rsidRPr="00E2549E" w:rsidRDefault="00E2549E" w:rsidP="00E2549E">
      <w:pPr>
        <w:spacing w:after="0" w:line="240" w:lineRule="auto"/>
        <w:jc w:val="both"/>
        <w:rPr>
          <w:rFonts w:cstheme="minorHAnsi"/>
          <w:bCs/>
          <w:kern w:val="0"/>
          <w:sz w:val="20"/>
          <w:szCs w:val="20"/>
          <w14:ligatures w14:val="none"/>
        </w:rPr>
      </w:pPr>
      <w:r w:rsidRPr="00E2549E">
        <w:rPr>
          <w:rFonts w:cstheme="minorHAnsi"/>
          <w:bCs/>
          <w:kern w:val="0"/>
          <w:sz w:val="20"/>
          <w:szCs w:val="20"/>
          <w14:ligatures w14:val="none"/>
        </w:rPr>
        <w:t>Telefono: 0784/1826007-015</w:t>
      </w:r>
    </w:p>
    <w:p w14:paraId="0FF430B1" w14:textId="77777777" w:rsidR="00E2549E" w:rsidRPr="00E2549E" w:rsidRDefault="00E2549E" w:rsidP="00E2549E">
      <w:pPr>
        <w:spacing w:after="0" w:line="240" w:lineRule="auto"/>
        <w:ind w:left="567" w:right="567"/>
        <w:jc w:val="both"/>
        <w:rPr>
          <w:rFonts w:cstheme="minorHAnsi"/>
          <w:bCs/>
          <w:color w:val="0563C1" w:themeColor="hyperlink"/>
          <w:kern w:val="0"/>
          <w:sz w:val="20"/>
          <w:szCs w:val="20"/>
          <w:u w:val="single"/>
          <w14:ligatures w14:val="none"/>
        </w:rPr>
      </w:pPr>
      <w:r w:rsidRPr="00E2549E">
        <w:rPr>
          <w:rFonts w:cstheme="minorHAnsi"/>
          <w:bCs/>
          <w:kern w:val="0"/>
          <w:sz w:val="20"/>
          <w:szCs w:val="20"/>
          <w14:ligatures w14:val="none"/>
        </w:rPr>
        <w:t xml:space="preserve">Email: </w:t>
      </w:r>
      <w:hyperlink r:id="rId10" w:history="1">
        <w:r w:rsidRPr="00E2549E">
          <w:rPr>
            <w:rFonts w:cstheme="minorHAnsi"/>
            <w:bCs/>
            <w:color w:val="0563C1" w:themeColor="hyperlink"/>
            <w:kern w:val="0"/>
            <w:sz w:val="20"/>
            <w:szCs w:val="20"/>
            <w:u w:val="single"/>
            <w14:ligatures w14:val="none"/>
          </w:rPr>
          <w:t>servizi.sociali2@comune.irgoli.nu.it</w:t>
        </w:r>
      </w:hyperlink>
      <w:r w:rsidRPr="00E2549E">
        <w:rPr>
          <w:rFonts w:cstheme="minorHAnsi"/>
          <w:bCs/>
          <w:kern w:val="0"/>
          <w:sz w:val="20"/>
          <w:szCs w:val="20"/>
          <w14:ligatures w14:val="none"/>
        </w:rPr>
        <w:t xml:space="preserve"> </w:t>
      </w:r>
    </w:p>
    <w:p w14:paraId="25FCAAFA" w14:textId="77777777" w:rsidR="00E2549E" w:rsidRPr="00E2549E" w:rsidRDefault="00E2549E" w:rsidP="00E2549E">
      <w:pPr>
        <w:spacing w:after="0" w:line="240" w:lineRule="auto"/>
        <w:ind w:right="567"/>
        <w:jc w:val="both"/>
        <w:rPr>
          <w:rFonts w:cstheme="minorHAnsi"/>
          <w:bCs/>
          <w:color w:val="44546A" w:themeColor="text2"/>
          <w:spacing w:val="-1"/>
          <w:kern w:val="0"/>
          <w:sz w:val="20"/>
          <w:szCs w:val="20"/>
          <w14:ligatures w14:val="none"/>
        </w:rPr>
      </w:pPr>
      <w:r w:rsidRPr="00E2549E">
        <w:rPr>
          <w:rFonts w:cstheme="minorHAnsi"/>
          <w:bCs/>
          <w:color w:val="44546A" w:themeColor="text2"/>
          <w:spacing w:val="-1"/>
          <w:kern w:val="0"/>
          <w:sz w:val="20"/>
          <w:szCs w:val="20"/>
          <w14:ligatures w14:val="none"/>
        </w:rPr>
        <w:t xml:space="preserve">                          </w:t>
      </w:r>
      <w:proofErr w:type="spellStart"/>
      <w:r w:rsidRPr="00E2549E">
        <w:rPr>
          <w:rFonts w:cstheme="minorHAnsi"/>
          <w:bCs/>
          <w:color w:val="44546A" w:themeColor="text2"/>
          <w:spacing w:val="-1"/>
          <w:kern w:val="0"/>
          <w:sz w:val="20"/>
          <w:szCs w:val="20"/>
          <w14:ligatures w14:val="none"/>
        </w:rPr>
        <w:t>Pec</w:t>
      </w:r>
      <w:proofErr w:type="spellEnd"/>
      <w:r w:rsidRPr="00E2549E">
        <w:rPr>
          <w:rFonts w:cstheme="minorHAnsi"/>
          <w:bCs/>
          <w:color w:val="44546A" w:themeColor="text2"/>
          <w:spacing w:val="-1"/>
          <w:kern w:val="0"/>
          <w:sz w:val="20"/>
          <w:szCs w:val="20"/>
          <w14:ligatures w14:val="none"/>
        </w:rPr>
        <w:t xml:space="preserve">: </w:t>
      </w:r>
      <w:hyperlink r:id="rId11" w:history="1">
        <w:r w:rsidRPr="00E2549E">
          <w:rPr>
            <w:rFonts w:cstheme="minorHAnsi"/>
            <w:bCs/>
            <w:color w:val="0563C1" w:themeColor="hyperlink"/>
            <w:spacing w:val="-1"/>
            <w:kern w:val="0"/>
            <w:sz w:val="20"/>
            <w:szCs w:val="20"/>
            <w:u w:val="single"/>
            <w14:ligatures w14:val="none"/>
          </w:rPr>
          <w:t>servizisociali.irgoli@pec.it</w:t>
        </w:r>
      </w:hyperlink>
      <w:r w:rsidRPr="00E2549E">
        <w:rPr>
          <w:rFonts w:cstheme="minorHAnsi"/>
          <w:bCs/>
          <w:color w:val="44546A" w:themeColor="text2"/>
          <w:spacing w:val="-1"/>
          <w:kern w:val="0"/>
          <w:sz w:val="20"/>
          <w:szCs w:val="20"/>
          <w14:ligatures w14:val="none"/>
        </w:rPr>
        <w:t xml:space="preserve"> </w:t>
      </w:r>
    </w:p>
    <w:p w14:paraId="256D635F" w14:textId="744DD7E0" w:rsidR="00E2549E" w:rsidRPr="00E2549E" w:rsidRDefault="00E2549E" w:rsidP="00E2549E">
      <w:pPr>
        <w:spacing w:line="259" w:lineRule="auto"/>
        <w:jc w:val="both"/>
        <w:rPr>
          <w:rFonts w:cstheme="minorHAnsi"/>
          <w:kern w:val="0"/>
          <w:sz w:val="20"/>
          <w:szCs w:val="20"/>
          <w14:ligatures w14:val="none"/>
        </w:rPr>
      </w:pPr>
      <w:r w:rsidRPr="00E2549E">
        <w:rPr>
          <w:rFonts w:cstheme="minorHAnsi"/>
          <w:kern w:val="0"/>
          <w:sz w:val="20"/>
          <w:szCs w:val="20"/>
          <w14:ligatures w14:val="none"/>
        </w:rPr>
        <w:t xml:space="preserve">Irgoli lì, </w:t>
      </w:r>
      <w:r w:rsidR="00D11342">
        <w:rPr>
          <w:rFonts w:cstheme="minorHAnsi"/>
          <w:kern w:val="0"/>
          <w:sz w:val="20"/>
          <w:szCs w:val="20"/>
          <w14:ligatures w14:val="none"/>
        </w:rPr>
        <w:t>05/05/2026</w:t>
      </w:r>
      <w:r w:rsidRPr="00E2549E">
        <w:rPr>
          <w:rFonts w:cstheme="minorHAnsi"/>
          <w:kern w:val="0"/>
          <w:sz w:val="20"/>
          <w:szCs w:val="20"/>
          <w14:ligatures w14:val="none"/>
        </w:rPr>
        <w:t xml:space="preserve"> </w:t>
      </w:r>
    </w:p>
    <w:p w14:paraId="708A07BA" w14:textId="77777777" w:rsidR="00E2549E" w:rsidRPr="00E2549E" w:rsidRDefault="00E2549E" w:rsidP="00D11342">
      <w:pPr>
        <w:spacing w:after="0" w:line="240" w:lineRule="auto"/>
        <w:jc w:val="right"/>
        <w:rPr>
          <w:rFonts w:cstheme="minorHAnsi"/>
          <w:kern w:val="0"/>
          <w:sz w:val="20"/>
          <w:szCs w:val="20"/>
          <w14:ligatures w14:val="none"/>
        </w:rPr>
      </w:pPr>
      <w:r w:rsidRPr="00E2549E">
        <w:rPr>
          <w:rFonts w:cstheme="minorHAnsi"/>
          <w:kern w:val="0"/>
          <w:sz w:val="20"/>
          <w:szCs w:val="20"/>
          <w14:ligatures w14:val="none"/>
        </w:rPr>
        <w:t>Il Responsabile dell’Area Socio – Culturale</w:t>
      </w:r>
    </w:p>
    <w:p w14:paraId="69C51F3E" w14:textId="05311017" w:rsidR="00E2549E" w:rsidRPr="007B550D" w:rsidRDefault="00E2549E" w:rsidP="00D11342">
      <w:pPr>
        <w:spacing w:after="0" w:line="240" w:lineRule="auto"/>
        <w:ind w:left="720"/>
        <w:contextualSpacing/>
        <w:jc w:val="right"/>
      </w:pPr>
      <w:r w:rsidRPr="00E2549E">
        <w:rPr>
          <w:rFonts w:cstheme="minorHAnsi"/>
          <w:kern w:val="0"/>
          <w:sz w:val="22"/>
          <w:szCs w:val="22"/>
          <w14:ligatures w14:val="none"/>
        </w:rPr>
        <w:t xml:space="preserve">f.to Dott.ssa Maria Grazia Canu </w:t>
      </w:r>
    </w:p>
    <w:sectPr w:rsidR="00E2549E" w:rsidRPr="007B550D" w:rsidSect="00D11342">
      <w:pgSz w:w="16838" w:h="23811" w:code="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8C1"/>
    <w:multiLevelType w:val="hybridMultilevel"/>
    <w:tmpl w:val="2C24D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905A12"/>
    <w:multiLevelType w:val="hybridMultilevel"/>
    <w:tmpl w:val="236644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BE78D0"/>
    <w:multiLevelType w:val="hybridMultilevel"/>
    <w:tmpl w:val="50CE5BA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6868A8"/>
    <w:multiLevelType w:val="hybridMultilevel"/>
    <w:tmpl w:val="A82068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3D2739"/>
    <w:multiLevelType w:val="hybridMultilevel"/>
    <w:tmpl w:val="DF102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C47D61"/>
    <w:multiLevelType w:val="hybridMultilevel"/>
    <w:tmpl w:val="C936C53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280A65"/>
    <w:multiLevelType w:val="hybridMultilevel"/>
    <w:tmpl w:val="13E2140A"/>
    <w:lvl w:ilvl="0" w:tplc="0D18C1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D00314"/>
    <w:multiLevelType w:val="hybridMultilevel"/>
    <w:tmpl w:val="6C601E06"/>
    <w:lvl w:ilvl="0" w:tplc="F4AE64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4187320">
    <w:abstractNumId w:val="4"/>
  </w:num>
  <w:num w:numId="2" w16cid:durableId="940069026">
    <w:abstractNumId w:val="1"/>
  </w:num>
  <w:num w:numId="3" w16cid:durableId="855847914">
    <w:abstractNumId w:val="5"/>
  </w:num>
  <w:num w:numId="4" w16cid:durableId="568613707">
    <w:abstractNumId w:val="2"/>
  </w:num>
  <w:num w:numId="5" w16cid:durableId="2070153693">
    <w:abstractNumId w:val="0"/>
  </w:num>
  <w:num w:numId="6" w16cid:durableId="1047292187">
    <w:abstractNumId w:val="7"/>
  </w:num>
  <w:num w:numId="7" w16cid:durableId="1919442550">
    <w:abstractNumId w:val="3"/>
  </w:num>
  <w:num w:numId="8" w16cid:durableId="2099404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86"/>
    <w:rsid w:val="0007214E"/>
    <w:rsid w:val="0027435C"/>
    <w:rsid w:val="007B550D"/>
    <w:rsid w:val="00951786"/>
    <w:rsid w:val="00B76D2E"/>
    <w:rsid w:val="00D11342"/>
    <w:rsid w:val="00E2549E"/>
    <w:rsid w:val="00F939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D396"/>
  <w15:chartTrackingRefBased/>
  <w15:docId w15:val="{7D2E2AB4-C20E-41E3-A79F-207B6A1B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5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5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5178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5178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5178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517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17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17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17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178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5178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5178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5178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5178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517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17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17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17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17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17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17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17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1786"/>
    <w:rPr>
      <w:i/>
      <w:iCs/>
      <w:color w:val="404040" w:themeColor="text1" w:themeTint="BF"/>
    </w:rPr>
  </w:style>
  <w:style w:type="paragraph" w:styleId="Paragrafoelenco">
    <w:name w:val="List Paragraph"/>
    <w:basedOn w:val="Normale"/>
    <w:uiPriority w:val="34"/>
    <w:qFormat/>
    <w:rsid w:val="00951786"/>
    <w:pPr>
      <w:ind w:left="720"/>
      <w:contextualSpacing/>
    </w:pPr>
  </w:style>
  <w:style w:type="character" w:styleId="Enfasiintensa">
    <w:name w:val="Intense Emphasis"/>
    <w:basedOn w:val="Carpredefinitoparagrafo"/>
    <w:uiPriority w:val="21"/>
    <w:qFormat/>
    <w:rsid w:val="00951786"/>
    <w:rPr>
      <w:i/>
      <w:iCs/>
      <w:color w:val="2F5496" w:themeColor="accent1" w:themeShade="BF"/>
    </w:rPr>
  </w:style>
  <w:style w:type="paragraph" w:styleId="Citazioneintensa">
    <w:name w:val="Intense Quote"/>
    <w:basedOn w:val="Normale"/>
    <w:next w:val="Normale"/>
    <w:link w:val="CitazioneintensaCarattere"/>
    <w:uiPriority w:val="30"/>
    <w:qFormat/>
    <w:rsid w:val="0095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51786"/>
    <w:rPr>
      <w:i/>
      <w:iCs/>
      <w:color w:val="2F5496" w:themeColor="accent1" w:themeShade="BF"/>
    </w:rPr>
  </w:style>
  <w:style w:type="character" w:styleId="Riferimentointenso">
    <w:name w:val="Intense Reference"/>
    <w:basedOn w:val="Carpredefinitoparagrafo"/>
    <w:uiPriority w:val="32"/>
    <w:qFormat/>
    <w:rsid w:val="00951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c.comune.irgoli@legalmai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omune.irgoli.nu.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ervizisociali.irgoli@pec.it" TargetMode="External"/><Relationship Id="rId5" Type="http://schemas.openxmlformats.org/officeDocument/2006/relationships/image" Target="media/image1.png"/><Relationship Id="rId10" Type="http://schemas.openxmlformats.org/officeDocument/2006/relationships/hyperlink" Target="mailto:servizi.sociali2@comune.irgoli.nu.it"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1263</Words>
  <Characters>7204</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Serra</dc:creator>
  <cp:keywords/>
  <dc:description/>
  <cp:lastModifiedBy>Maria Grazia Canu</cp:lastModifiedBy>
  <cp:revision>2</cp:revision>
  <dcterms:created xsi:type="dcterms:W3CDTF">2026-06-05T10:32:00Z</dcterms:created>
  <dcterms:modified xsi:type="dcterms:W3CDTF">2026-06-05T10:32:00Z</dcterms:modified>
</cp:coreProperties>
</file>